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24"/>
      </w:tblGrid>
      <w:tr w:rsidR="000D1C18" w:rsidRPr="00ED0302" w:rsidTr="00A90DDA">
        <w:tc>
          <w:tcPr>
            <w:tcW w:w="2694" w:type="dxa"/>
            <w:shd w:val="clear" w:color="auto" w:fill="E2EFD9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Denumire Masură</w:t>
            </w:r>
          </w:p>
        </w:tc>
        <w:tc>
          <w:tcPr>
            <w:tcW w:w="7224" w:type="dxa"/>
            <w:shd w:val="clear" w:color="auto" w:fill="E2EFD9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  <w:b/>
              </w:rPr>
            </w:pPr>
            <w:r w:rsidRPr="00ED0302">
              <w:rPr>
                <w:rFonts w:ascii="Trebuchet MS" w:hAnsi="Trebuchet MS"/>
              </w:rPr>
              <w:t>Creşterea productivității agricole şi a valorii adăugate a produselor agricole din microregiunea Ceahlău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Codul Măsurii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M 9 / 2A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Tipul Măsurii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 xml:space="preserve">x  Investiţii     </w:t>
            </w:r>
            <w:r w:rsidRPr="00ED0302">
              <w:rPr>
                <w:rFonts w:ascii="Trebuchet MS" w:hAnsi="Trebuchet MS"/>
              </w:rPr>
              <w:sym w:font="Symbol" w:char="F080"/>
            </w:r>
            <w:r w:rsidRPr="00ED0302">
              <w:rPr>
                <w:rFonts w:ascii="Trebuchet MS" w:hAnsi="Trebuchet MS"/>
              </w:rPr>
              <w:t xml:space="preserve"> Servicii          </w:t>
            </w:r>
            <w:r w:rsidRPr="00ED0302">
              <w:rPr>
                <w:rFonts w:ascii="Trebuchet MS" w:hAnsi="Trebuchet MS"/>
              </w:rPr>
              <w:sym w:font="Symbol" w:char="F080"/>
            </w:r>
            <w:r w:rsidRPr="00ED0302">
              <w:rPr>
                <w:rFonts w:ascii="Trebuchet MS" w:hAnsi="Trebuchet MS"/>
              </w:rPr>
              <w:t xml:space="preserve"> Sprijin Forfetar</w:t>
            </w:r>
          </w:p>
        </w:tc>
      </w:tr>
      <w:tr w:rsidR="000D1C18" w:rsidRPr="00ED0302" w:rsidTr="00A90DDA">
        <w:tc>
          <w:tcPr>
            <w:tcW w:w="9918" w:type="dxa"/>
            <w:gridSpan w:val="2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1.Descrierea generală a Măsurii</w:t>
            </w:r>
          </w:p>
          <w:p w:rsidR="000D1C18" w:rsidRPr="00ED0302" w:rsidRDefault="000D1C18" w:rsidP="00A90DDA">
            <w:pPr>
              <w:spacing w:before="43" w:after="0" w:line="276" w:lineRule="auto"/>
              <w:ind w:right="36"/>
              <w:jc w:val="both"/>
              <w:rPr>
                <w:rFonts w:ascii="Trebuchet MS" w:hAnsi="Trebuchet MS"/>
                <w:spacing w:val="-1"/>
              </w:rPr>
            </w:pPr>
            <w:r w:rsidRPr="00ED0302">
              <w:rPr>
                <w:rFonts w:ascii="Trebuchet MS" w:hAnsi="Trebuchet MS"/>
              </w:rPr>
              <w:t xml:space="preserve">Aşa cum reiese şi din analiza SWOT, sectorul agricol specific teritoriului GAL Ceahlău se caracterizează prin dotarea materială insuficientă practicării unei agriculturi performante şi </w:t>
            </w:r>
            <w:r w:rsidRPr="00ED0302">
              <w:rPr>
                <w:rFonts w:ascii="Trebuchet MS" w:hAnsi="Trebuchet MS"/>
                <w:spacing w:val="-1"/>
              </w:rPr>
              <w:t>obţinerii de produse agricole calitative precum şi lipsa unităţilor de colectare , procesare şi comercializare şi a unei pieţe de desfacere pentru produsele locale.</w:t>
            </w:r>
          </w:p>
          <w:p w:rsidR="000D1C18" w:rsidRPr="00ED0302" w:rsidRDefault="000D1C18" w:rsidP="00A90DDA">
            <w:pPr>
              <w:spacing w:before="43" w:after="0" w:line="276" w:lineRule="auto"/>
              <w:ind w:right="36"/>
              <w:jc w:val="both"/>
              <w:rPr>
                <w:rFonts w:ascii="Trebuchet MS" w:hAnsi="Trebuchet MS"/>
                <w:spacing w:val="-1"/>
              </w:rPr>
            </w:pPr>
            <w:r w:rsidRPr="00ED0302">
              <w:rPr>
                <w:rFonts w:ascii="Trebuchet MS" w:hAnsi="Trebuchet MS"/>
                <w:spacing w:val="-1"/>
              </w:rPr>
              <w:t>Masur</w:t>
            </w:r>
            <w:r>
              <w:rPr>
                <w:rFonts w:ascii="Trebuchet MS" w:hAnsi="Trebuchet MS"/>
                <w:spacing w:val="-1"/>
              </w:rPr>
              <w:t>a</w:t>
            </w:r>
            <w:r w:rsidRPr="00ED0302">
              <w:rPr>
                <w:rFonts w:ascii="Trebuchet MS" w:hAnsi="Trebuchet MS"/>
                <w:spacing w:val="-1"/>
              </w:rPr>
              <w:t xml:space="preserve"> v</w:t>
            </w:r>
            <w:r>
              <w:rPr>
                <w:rFonts w:ascii="Trebuchet MS" w:hAnsi="Trebuchet MS"/>
                <w:spacing w:val="-1"/>
              </w:rPr>
              <w:t>i</w:t>
            </w:r>
            <w:r w:rsidRPr="00ED0302">
              <w:rPr>
                <w:rFonts w:ascii="Trebuchet MS" w:hAnsi="Trebuchet MS"/>
                <w:spacing w:val="-1"/>
              </w:rPr>
              <w:t>ne în sprijinul fermelor mici şi medii existent</w:t>
            </w:r>
            <w:r>
              <w:rPr>
                <w:rFonts w:ascii="Trebuchet MS" w:hAnsi="Trebuchet MS"/>
                <w:spacing w:val="-1"/>
              </w:rPr>
              <w:t>e</w:t>
            </w:r>
            <w:r w:rsidRPr="00ED0302">
              <w:rPr>
                <w:rFonts w:ascii="Trebuchet MS" w:hAnsi="Trebuchet MS"/>
                <w:spacing w:val="-1"/>
              </w:rPr>
              <w:t xml:space="preserve"> la nivelul teritoriului GAL Ceahlău, prin susţinerea investiţiilor orientate spre </w:t>
            </w:r>
            <w:r w:rsidRPr="00ED0302">
              <w:rPr>
                <w:rFonts w:ascii="Trebuchet MS" w:hAnsi="Trebuchet MS"/>
              </w:rPr>
              <w:t xml:space="preserve">îmbunătăţirea competitivității exploatațiilor şi facilitarea accesului pe piață. 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Obiectivele de dezvoltare rurală (conform Reg. UE 1305/2013, art. 4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Favorizarea competitivității agriculturii</w:t>
            </w:r>
          </w:p>
          <w:p w:rsidR="000D1C18" w:rsidRPr="00ED0302" w:rsidRDefault="000D1C18" w:rsidP="00A90DDA">
            <w:pPr>
              <w:spacing w:after="0" w:line="276" w:lineRule="auto"/>
              <w:ind w:left="25"/>
              <w:rPr>
                <w:rFonts w:ascii="Trebuchet MS" w:hAnsi="Trebuchet MS"/>
              </w:rPr>
            </w:pP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  <w:b/>
              </w:rPr>
            </w:pPr>
            <w:r w:rsidRPr="00ED0302">
              <w:rPr>
                <w:rFonts w:ascii="Trebuchet MS" w:hAnsi="Trebuchet MS"/>
                <w:b/>
              </w:rPr>
              <w:t>Obiectivele specifice ale Măsurii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  <w:b/>
              </w:rPr>
            </w:pPr>
            <w:r w:rsidRPr="00ED0302">
              <w:rPr>
                <w:rFonts w:ascii="Trebuchet MS" w:hAnsi="Trebuchet MS"/>
                <w:b/>
              </w:rPr>
              <w:t xml:space="preserve">Obiectivul general al Măsurii este: </w:t>
            </w:r>
          </w:p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  <w:b/>
              </w:rPr>
              <w:t xml:space="preserve">2. </w:t>
            </w:r>
            <w:r w:rsidRPr="00ED0302">
              <w:rPr>
                <w:rFonts w:ascii="Trebuchet MS" w:hAnsi="Trebuchet MS"/>
              </w:rPr>
              <w:t>Creşterea competitivității exploatațiilor agricole de pe teritoriul LEADER al GAL Ceahlău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  <w:b/>
              </w:rPr>
            </w:pPr>
            <w:r w:rsidRPr="00ED0302">
              <w:rPr>
                <w:rFonts w:ascii="Trebuchet MS" w:hAnsi="Trebuchet MS"/>
                <w:b/>
              </w:rPr>
              <w:t>Obiective specifice: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1. Îmbunătăţirea performanței economice a tuturor exploatațiilor agricole de pe teritoriul GAL şi facilitarea înființării şi modernizării exploatațiilor.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2. Dezvoltarea sectorului de procesare şi încurajarea  orientării spre piața de desfacere a produselor locale</w:t>
            </w:r>
            <w:r w:rsidRPr="00ED0302">
              <w:rPr>
                <w:rFonts w:ascii="Trebuchet MS" w:hAnsi="Trebuchet MS"/>
                <w:b/>
              </w:rPr>
              <w:t>.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Contribuţia la Prioritatea/priorităţile prevăzute la art. 5 din Reg. UE 1305/2013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P2: Creşterea viabilității exploatațiilor şi a competitivității tuturor tipurilor de agricultură în toate regiunile şi promovarea tehnologiilor agricole inovatoare şi a gestionării durabile a pădurii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Contribuţia la obiectivele prevăzute în Reg. 1305/2013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Masur</w:t>
            </w:r>
            <w:r>
              <w:rPr>
                <w:rFonts w:ascii="Trebuchet MS" w:hAnsi="Trebuchet MS"/>
              </w:rPr>
              <w:t>a</w:t>
            </w:r>
            <w:r w:rsidRPr="00ED0302">
              <w:rPr>
                <w:rFonts w:ascii="Trebuchet MS" w:hAnsi="Trebuchet MS"/>
              </w:rPr>
              <w:t xml:space="preserve"> corespunde obiectivelor art. 1</w:t>
            </w:r>
            <w:r>
              <w:rPr>
                <w:rFonts w:ascii="Trebuchet MS" w:hAnsi="Trebuchet MS"/>
              </w:rPr>
              <w:t>7</w:t>
            </w:r>
            <w:r w:rsidRPr="00ED0302">
              <w:rPr>
                <w:rFonts w:ascii="Trebuchet MS" w:hAnsi="Trebuchet MS"/>
              </w:rPr>
              <w:t xml:space="preserve"> din Reg. 1305/2013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Contribuţia la domeniile de intervenţie Măsurii 19.2</w:t>
            </w:r>
          </w:p>
        </w:tc>
        <w:tc>
          <w:tcPr>
            <w:tcW w:w="7224" w:type="dxa"/>
          </w:tcPr>
          <w:p w:rsidR="000D1C18" w:rsidRDefault="00B36D0C" w:rsidP="00A90DDA">
            <w:pPr>
              <w:spacing w:after="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Domeniu principal de intervenție </w:t>
            </w:r>
            <w:r w:rsidR="000D1C18" w:rsidRPr="00ED0302">
              <w:rPr>
                <w:rFonts w:ascii="Trebuchet MS" w:hAnsi="Trebuchet MS"/>
              </w:rPr>
              <w:t>2A) Îmbunătăţirea performanței economice a tuturor exploatațiilor agricole şi facilitarea restructurării şi modernizării exploatațiilor, în special în vederea creșterii participării pe piață şi a orientării spre piață, precum şi a diversificării activităţilor agricole</w:t>
            </w:r>
          </w:p>
          <w:p w:rsidR="00120A9F" w:rsidRPr="00120A9F" w:rsidRDefault="00120A9F" w:rsidP="00120A9F">
            <w:pPr>
              <w:spacing w:after="0" w:line="240" w:lineRule="auto"/>
              <w:rPr>
                <w:rFonts w:ascii="Trebuchet MS" w:eastAsia="Times New Roman" w:hAnsi="Trebuchet MS" w:cs="Arial"/>
                <w:lang w:val="en-US"/>
              </w:rPr>
            </w:pP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Domeniu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secundar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de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interventie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3A)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Îmbunătățirea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competitivității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</w:p>
          <w:p w:rsidR="00120A9F" w:rsidRPr="00120A9F" w:rsidRDefault="00120A9F" w:rsidP="00120A9F">
            <w:pPr>
              <w:spacing w:after="0" w:line="240" w:lineRule="auto"/>
              <w:rPr>
                <w:rFonts w:ascii="Trebuchet MS" w:eastAsia="Times New Roman" w:hAnsi="Trebuchet MS" w:cs="Arial"/>
                <w:lang w:val="en-US"/>
              </w:rPr>
            </w:pP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producătorilor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primari</w:t>
            </w:r>
            <w:proofErr w:type="spellEnd"/>
            <w:r w:rsidR="00B36D0C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printr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-o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mai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bună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integrare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a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acestora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în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lanțul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</w:p>
          <w:p w:rsidR="00120A9F" w:rsidRPr="00120A9F" w:rsidRDefault="00120A9F" w:rsidP="00120A9F">
            <w:pPr>
              <w:spacing w:after="0" w:line="240" w:lineRule="auto"/>
              <w:rPr>
                <w:rFonts w:ascii="Trebuchet MS" w:eastAsia="Times New Roman" w:hAnsi="Trebuchet MS" w:cs="Arial"/>
                <w:lang w:val="en-US"/>
              </w:rPr>
            </w:pP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agroalimentar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prin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intermediul</w:t>
            </w:r>
            <w:proofErr w:type="spellEnd"/>
            <w:r w:rsidR="00B36D0C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schemelor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de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calitate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, al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creșterii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</w:p>
          <w:p w:rsidR="00120A9F" w:rsidRPr="00120A9F" w:rsidRDefault="00120A9F" w:rsidP="00120A9F">
            <w:pPr>
              <w:spacing w:after="0" w:line="240" w:lineRule="auto"/>
              <w:rPr>
                <w:rFonts w:ascii="Trebuchet MS" w:eastAsia="Times New Roman" w:hAnsi="Trebuchet MS" w:cs="Arial"/>
                <w:lang w:val="en-US"/>
              </w:rPr>
            </w:pP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valorii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adăugate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a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produselor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agricole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>, al</w:t>
            </w:r>
            <w:r w:rsidR="00B36D0C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promovării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pe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piețele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locale </w:t>
            </w:r>
          </w:p>
          <w:p w:rsidR="00120A9F" w:rsidRPr="00120A9F" w:rsidRDefault="00120A9F" w:rsidP="00120A9F">
            <w:pPr>
              <w:spacing w:after="0" w:line="240" w:lineRule="auto"/>
              <w:rPr>
                <w:rFonts w:ascii="Trebuchet MS" w:eastAsia="Times New Roman" w:hAnsi="Trebuchet MS" w:cs="Arial"/>
                <w:lang w:val="en-US"/>
              </w:rPr>
            </w:pP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și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în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cadrul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circuitelor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scurte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de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aprovizionare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>, al</w:t>
            </w:r>
            <w:r w:rsidR="00B36D0C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grupurilor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și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</w:p>
          <w:p w:rsidR="00120A9F" w:rsidRPr="00120A9F" w:rsidRDefault="00120A9F" w:rsidP="00120A9F">
            <w:pPr>
              <w:spacing w:after="0" w:line="240" w:lineRule="auto"/>
              <w:rPr>
                <w:rFonts w:ascii="Trebuchet MS" w:eastAsia="Times New Roman" w:hAnsi="Trebuchet MS" w:cs="Arial"/>
                <w:lang w:val="en-US"/>
              </w:rPr>
            </w:pP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organizațiilor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de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producători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și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al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organizațiilor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 xml:space="preserve"> </w:t>
            </w:r>
            <w:proofErr w:type="spellStart"/>
            <w:r w:rsidRPr="00120A9F">
              <w:rPr>
                <w:rFonts w:ascii="Trebuchet MS" w:eastAsia="Times New Roman" w:hAnsi="Trebuchet MS" w:cs="Arial"/>
                <w:lang w:val="en-US"/>
              </w:rPr>
              <w:t>interprofesionale</w:t>
            </w:r>
            <w:proofErr w:type="spellEnd"/>
            <w:r w:rsidRPr="00120A9F">
              <w:rPr>
                <w:rFonts w:ascii="Trebuchet MS" w:eastAsia="Times New Roman" w:hAnsi="Trebuchet MS" w:cs="Arial"/>
                <w:lang w:val="en-US"/>
              </w:rPr>
              <w:t>;</w:t>
            </w:r>
          </w:p>
          <w:p w:rsidR="00120A9F" w:rsidRPr="00ED0302" w:rsidRDefault="00120A9F" w:rsidP="00A90DDA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 xml:space="preserve">Contribuţia la </w:t>
            </w:r>
            <w:r w:rsidRPr="00ED0302">
              <w:rPr>
                <w:rFonts w:ascii="Trebuchet MS" w:hAnsi="Trebuchet MS"/>
              </w:rPr>
              <w:lastRenderedPageBreak/>
              <w:t>obiectivele transversale ale Reg. UE 1305/2013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lastRenderedPageBreak/>
              <w:t>Mediu, climă şi inovare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lastRenderedPageBreak/>
              <w:t>Complementaritate cu alte măsuri din SDL</w:t>
            </w:r>
          </w:p>
        </w:tc>
        <w:tc>
          <w:tcPr>
            <w:tcW w:w="7224" w:type="dxa"/>
          </w:tcPr>
          <w:p w:rsidR="000D1C18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A16058">
              <w:rPr>
                <w:rFonts w:ascii="Trebuchet MS" w:hAnsi="Trebuchet MS"/>
              </w:rPr>
              <w:t>M9/2A este complementara cu masura M7/1A</w:t>
            </w:r>
          </w:p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Conform criteriilor de selectie v</w:t>
            </w:r>
            <w:r w:rsidRPr="00A16058">
              <w:rPr>
                <w:rFonts w:ascii="Trebuchet MS" w:hAnsi="Trebuchet MS"/>
              </w:rPr>
              <w:t>or fi prioritizati: fermierii si IMM-uri ce activeaza in sectorul agricol care au beneficiat de actiuni de formare, informare si transfer de cunostinte prin masura M7/1A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 xml:space="preserve"> Sinergia dintre măsurile propuse prin SDL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 xml:space="preserve">M </w:t>
            </w:r>
            <w:r>
              <w:rPr>
                <w:rFonts w:ascii="Trebuchet MS" w:hAnsi="Trebuchet MS"/>
              </w:rPr>
              <w:t>8/2A</w:t>
            </w:r>
            <w:r w:rsidRPr="00ED0302">
              <w:rPr>
                <w:rFonts w:ascii="Trebuchet MS" w:hAnsi="Trebuchet MS"/>
              </w:rPr>
              <w:t xml:space="preserve"> </w:t>
            </w:r>
            <w:r w:rsidRPr="00A16058">
              <w:rPr>
                <w:rFonts w:ascii="Trebuchet MS" w:hAnsi="Trebuchet MS"/>
              </w:rPr>
              <w:t>Susţinerea fermelor mici  din microregiunea Ceahlău în vederea restructurării şi modernizării acestora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Valoarea adaugată a Măsurii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Măsura</w:t>
            </w:r>
            <w:r w:rsidRPr="00ED0302">
              <w:rPr>
                <w:rFonts w:ascii="Trebuchet MS" w:hAnsi="Trebuchet MS"/>
              </w:rPr>
              <w:t xml:space="preserve"> încurajeaz</w:t>
            </w:r>
            <w:r>
              <w:rPr>
                <w:rFonts w:ascii="Trebuchet MS" w:hAnsi="Trebuchet MS"/>
              </w:rPr>
              <w:t>ă</w:t>
            </w:r>
            <w:r w:rsidRPr="00ED0302">
              <w:rPr>
                <w:rFonts w:ascii="Trebuchet MS" w:hAnsi="Trebuchet MS"/>
              </w:rPr>
              <w:t xml:space="preserve"> obţinerea de produse de calitate superioară în vederea construirii şi promovării unui brand local. 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Trimiteri la alte acte legislative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1.1 Legislaţia europeană:</w:t>
            </w:r>
          </w:p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 xml:space="preserve">• Regulamentul (UE) nr. 1303/2013 </w:t>
            </w:r>
          </w:p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 xml:space="preserve">• Regulamentul (UE) nr. 1305/2013 </w:t>
            </w:r>
          </w:p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 xml:space="preserve">• Regulamentul (UE) nr. 1407/2013 </w:t>
            </w:r>
          </w:p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1.2 Legislaţia Naţională cu incidenţă în domeniile activităţilor agricole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Beneficiari direcţi (aplicanţi)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  <w:bCs/>
              </w:rPr>
            </w:pPr>
            <w:r w:rsidRPr="00ED0302">
              <w:rPr>
                <w:rFonts w:ascii="Trebuchet MS" w:hAnsi="Trebuchet MS"/>
              </w:rPr>
              <w:t>IM</w:t>
            </w:r>
            <w:r w:rsidRPr="00ED0302">
              <w:rPr>
                <w:rFonts w:ascii="Trebuchet MS" w:hAnsi="Trebuchet MS"/>
                <w:bCs/>
              </w:rPr>
              <w:t>M</w:t>
            </w:r>
          </w:p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  <w:bCs/>
              </w:rPr>
            </w:pPr>
            <w:r w:rsidRPr="00ED0302">
              <w:rPr>
                <w:rFonts w:ascii="Trebuchet MS" w:hAnsi="Trebuchet MS"/>
              </w:rPr>
              <w:t>Fermieri înregistrati ca PFA, II, IF</w:t>
            </w:r>
          </w:p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  <w:bCs/>
              </w:rPr>
            </w:pPr>
            <w:r w:rsidRPr="00ED0302">
              <w:rPr>
                <w:rFonts w:ascii="Trebuchet MS" w:hAnsi="Trebuchet MS"/>
              </w:rPr>
              <w:t>Asociații de crescători de animale/Cooperative agricole de pe teritoriul GAL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Beneficiari indirecţi (grup ţintă)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ind w:left="25"/>
              <w:rPr>
                <w:rFonts w:ascii="Trebuchet MS" w:hAnsi="Trebuchet MS"/>
                <w:bCs/>
              </w:rPr>
            </w:pPr>
            <w:r w:rsidRPr="00ED0302">
              <w:rPr>
                <w:rFonts w:ascii="Trebuchet MS" w:hAnsi="Trebuchet MS"/>
                <w:bCs/>
              </w:rPr>
              <w:t>Comunitatea de pe teritoriul GAL Ceahlău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Tip de sprijin  (conf. Art. 67 din Reg. UE 1303/2013)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Rambursarea cheltuielilor eligibile suportate şi plătite efectiv.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Plăţi în avans cu condiţia constituirii unei garanţii echivalente corespunzătoare procentului de 100% din valoarea avansului, în conf</w:t>
            </w:r>
            <w:r>
              <w:rPr>
                <w:rFonts w:ascii="Trebuchet MS" w:hAnsi="Trebuchet MS"/>
              </w:rPr>
              <w:t>ormitate</w:t>
            </w:r>
            <w:r w:rsidRPr="00ED0302">
              <w:rPr>
                <w:rFonts w:ascii="Trebuchet MS" w:hAnsi="Trebuchet MS"/>
              </w:rPr>
              <w:t xml:space="preserve"> cu art. 45(4) şi art. 63 ale Reg. UE 1305/2013</w:t>
            </w:r>
            <w:r>
              <w:rPr>
                <w:rFonts w:ascii="Trebuchet MS" w:hAnsi="Trebuchet MS"/>
              </w:rPr>
              <w:t>.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Acţiuni eligibile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Investiţii în înfiinţarea, extinderea şi/ sau modernizarea fermelor vegetale, zootehnice şi mixte.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Investiţii în crearea de  capacități de stocare, condiționare, sortare, ambalare, procesare a producţiei pentru creşterea valorii adăugate a produselor.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Investiţii în tehnologii eficiente de reducere a poluării şi respectarea standardelor Uniunii şi cele pentru depozitarea/ gestionarea adecvată a gunoiului de grajd pentru fermele zootehnice.</w:t>
            </w:r>
          </w:p>
          <w:p w:rsidR="000D1C18" w:rsidRPr="00ED0302" w:rsidRDefault="000D1C18" w:rsidP="00B36D0C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 xml:space="preserve">Investiţii în vederea comercializării (precum magazinele la poarta fermei sau rulotele alimentare, inclusiv autorulotele alimentare prin care vor fi comercializate exclusiv propriile produse agricole). </w:t>
            </w:r>
            <w:r w:rsidRPr="00ED0302">
              <w:rPr>
                <w:rFonts w:ascii="Trebuchet MS" w:hAnsi="Trebuchet MS"/>
                <w:i/>
              </w:rPr>
              <w:t>Investiţiile de procesare</w:t>
            </w:r>
            <w:r w:rsidR="00B36D0C">
              <w:rPr>
                <w:rFonts w:ascii="Trebuchet MS" w:hAnsi="Trebuchet MS"/>
                <w:i/>
              </w:rPr>
              <w:t xml:space="preserve"> vor fi realizate atât împreună </w:t>
            </w:r>
            <w:r w:rsidRPr="00ED0302">
              <w:rPr>
                <w:rFonts w:ascii="Trebuchet MS" w:hAnsi="Trebuchet MS"/>
                <w:i/>
              </w:rPr>
              <w:t xml:space="preserve">cu investiţii în înfiinţarea/modernizarea/dezvoltarea fermei </w:t>
            </w:r>
            <w:r w:rsidR="00B36D0C">
              <w:rPr>
                <w:rFonts w:ascii="Trebuchet MS" w:hAnsi="Trebuchet MS"/>
                <w:i/>
              </w:rPr>
              <w:t>,</w:t>
            </w:r>
            <w:r w:rsidRPr="00ED0302">
              <w:rPr>
                <w:rFonts w:ascii="Trebuchet MS" w:hAnsi="Trebuchet MS"/>
                <w:i/>
              </w:rPr>
              <w:t>considerate proiecte ce vizează un lanț alimentar integrat</w:t>
            </w:r>
            <w:r w:rsidR="00B36D0C">
              <w:rPr>
                <w:rFonts w:ascii="Trebuchet MS" w:hAnsi="Trebuchet MS"/>
                <w:i/>
              </w:rPr>
              <w:t>, cât și ca investiții individuale și/sau colective în vederea creării și/sau modernizării unor capacități de procesare și comercializare a produselor agricole.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Acţiuni neeligibie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Cumpărarea de teren şi/sau de imobile.</w:t>
            </w:r>
          </w:p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Achiziţionarea de bunuri second-hand (utilizate), cu excepţia celor care au ca obiectiv obţinerea caracterului tradiţional autentic.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TVA, cu excepţia TVA-ului nedeductibil.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lastRenderedPageBreak/>
              <w:t>Condiţii de eligibilitate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Proiectul trebuie să fie realizat pe teritoriul GAL Ceahlău.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 xml:space="preserve">Beneficiarul trebuie sa se încadreze în categoria beneficiarilor eligibili. 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ED0302">
              <w:rPr>
                <w:rFonts w:ascii="Trebuchet MS" w:eastAsia="Times New Roman" w:hAnsi="Trebuchet MS"/>
                <w:lang w:eastAsia="ro-RO"/>
              </w:rPr>
              <w:t>Solicitantul nu este înregistrat ca debitor la AFIR (pentru programele SAPARD/FEADR.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ED0302">
              <w:rPr>
                <w:rFonts w:ascii="Trebuchet MS" w:eastAsia="Times New Roman" w:hAnsi="Trebuchet MS"/>
                <w:lang w:eastAsia="ro-RO"/>
              </w:rPr>
              <w:t>Solicitantul nu</w:t>
            </w:r>
            <w:r w:rsidRPr="00ED0302">
              <w:rPr>
                <w:rFonts w:ascii="Trebuchet MS" w:eastAsia="Times New Roman" w:hAnsi="Trebuchet MS"/>
                <w:b/>
                <w:lang w:eastAsia="ro-RO"/>
              </w:rPr>
              <w:t xml:space="preserve"> </w:t>
            </w:r>
            <w:r w:rsidRPr="00ED0302">
              <w:rPr>
                <w:rFonts w:ascii="Trebuchet MS" w:eastAsia="Times New Roman" w:hAnsi="Trebuchet MS"/>
                <w:lang w:eastAsia="ro-RO"/>
              </w:rPr>
              <w:t>are un contract reziliat cu AFIR în ultimele 12 luni, dacă este reziliat din proprie iniţiativă, sau 24 de luni dacă este reziliat de către AFIR pentru nerespectarea prevederilor contractuale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ED0302">
              <w:rPr>
                <w:rFonts w:ascii="Trebuchet MS" w:eastAsia="Times New Roman" w:hAnsi="Trebuchet MS"/>
                <w:lang w:eastAsia="ro-RO"/>
              </w:rPr>
              <w:t>şi nu se află într-o situaţie litigioasă cu AFIR, până la pronunţarea definitivă a instanţei de judecată.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Beneficiarul sa aibă sediul social şi/sau secundar pe teritoriul GAL  Ceahlău.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 w:cs="Trebuchet MS"/>
              </w:rPr>
            </w:pPr>
            <w:r w:rsidRPr="00ED0302">
              <w:rPr>
                <w:rFonts w:ascii="Trebuchet MS" w:hAnsi="Trebuchet MS" w:cs="Trebuchet MS"/>
              </w:rPr>
              <w:t xml:space="preserve">Investiţia trebuie să se realizeze în cadrul unei ferme cu o dimenşiune economică de minim </w:t>
            </w:r>
            <w:r>
              <w:rPr>
                <w:rFonts w:ascii="Trebuchet MS" w:hAnsi="Trebuchet MS" w:cs="Trebuchet MS"/>
              </w:rPr>
              <w:t xml:space="preserve">4.000 </w:t>
            </w:r>
            <w:r w:rsidRPr="00ED0302">
              <w:rPr>
                <w:rFonts w:ascii="Trebuchet MS" w:hAnsi="Trebuchet MS" w:cs="Trebuchet MS"/>
              </w:rPr>
              <w:t>SO.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În cazul proiectelor care prevăd desfașurarea pentru prima dată a unei activităţi agricole, solicitantul va fi înscris cu exploatația agricolă la APIA/ANSVSA  de mai puţin de un an de zile.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Dimensiunea economică  în cazul proiectelor depuse de formele asociative va fi suma dimensiunilor economice ale exploatațiilor membrilor fermieri.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Investiţia trebuie s</w:t>
            </w:r>
            <w:r w:rsidRPr="00ED0302">
              <w:rPr>
                <w:rFonts w:ascii="Trebuchet MS" w:hAnsi="Trebuchet MS" w:cs="Century"/>
              </w:rPr>
              <w:t>ă</w:t>
            </w:r>
            <w:r w:rsidRPr="00ED0302">
              <w:rPr>
                <w:rFonts w:ascii="Trebuchet MS" w:hAnsi="Trebuchet MS"/>
              </w:rPr>
              <w:t xml:space="preserve"> se </w:t>
            </w:r>
            <w:r w:rsidRPr="00ED0302">
              <w:rPr>
                <w:rFonts w:ascii="Trebuchet MS" w:hAnsi="Trebuchet MS" w:cs="Century"/>
              </w:rPr>
              <w:t>în</w:t>
            </w:r>
            <w:r w:rsidRPr="00ED0302">
              <w:rPr>
                <w:rFonts w:ascii="Trebuchet MS" w:hAnsi="Trebuchet MS"/>
              </w:rPr>
              <w:t xml:space="preserve">cadreze </w:t>
            </w:r>
            <w:r w:rsidRPr="00ED0302">
              <w:rPr>
                <w:rFonts w:ascii="Trebuchet MS" w:hAnsi="Trebuchet MS" w:cs="Century"/>
              </w:rPr>
              <w:t>în</w:t>
            </w:r>
            <w:r w:rsidRPr="00ED0302">
              <w:rPr>
                <w:rFonts w:ascii="Trebuchet MS" w:hAnsi="Trebuchet MS"/>
              </w:rPr>
              <w:t xml:space="preserve"> cel puţin una din tipurile de acţiuni prevăzute prin Masură.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 w:cs="Trebuchet MS"/>
              </w:rPr>
            </w:pPr>
            <w:r w:rsidRPr="00ED0302">
              <w:rPr>
                <w:rFonts w:ascii="Trebuchet MS" w:hAnsi="Trebuchet MS" w:cs="Trebuchet MS"/>
              </w:rPr>
              <w:t>Beneficiarul trebuie să demonstreze asigurarea cofinanțării investiţiei.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 w:cs="Trebuchet MS"/>
              </w:rPr>
              <w:t>Viabilitatea economică a investiţiei trebuie să fie demonstrată  în bază documentației tehnico-economice.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Solicitantul se angajează sa asigure întreţinerea/mentenanţa investiţiei pe o perioad</w:t>
            </w:r>
            <w:r w:rsidRPr="00ED0302">
              <w:rPr>
                <w:rFonts w:ascii="Trebuchet MS" w:hAnsi="Trebuchet MS" w:cs="Century"/>
              </w:rPr>
              <w:t>ă</w:t>
            </w:r>
            <w:r w:rsidRPr="00ED0302">
              <w:rPr>
                <w:rFonts w:ascii="Trebuchet MS" w:hAnsi="Trebuchet MS"/>
              </w:rPr>
              <w:t xml:space="preserve"> de minim 5 ani, de la ultima plată. 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Criterii de selecţie</w:t>
            </w:r>
          </w:p>
        </w:tc>
        <w:tc>
          <w:tcPr>
            <w:tcW w:w="7224" w:type="dxa"/>
          </w:tcPr>
          <w:p w:rsidR="000D1C18" w:rsidRDefault="000D1C18" w:rsidP="00A90DDA">
            <w:pPr>
              <w:pStyle w:val="ListParagraph"/>
              <w:spacing w:after="0" w:line="276" w:lineRule="auto"/>
              <w:ind w:left="0"/>
              <w:jc w:val="both"/>
              <w:rPr>
                <w:rFonts w:ascii="Trebuchet MS" w:hAnsi="Trebuchet MS"/>
              </w:rPr>
            </w:pPr>
            <w:r w:rsidRPr="00A16058">
              <w:rPr>
                <w:rFonts w:ascii="Trebuchet MS" w:hAnsi="Trebuchet MS"/>
              </w:rPr>
              <w:t>Vor fi prioritizati</w:t>
            </w:r>
            <w:r>
              <w:rPr>
                <w:rFonts w:ascii="Trebuchet MS" w:hAnsi="Trebuchet MS"/>
              </w:rPr>
              <w:t xml:space="preserve"> spre finantare</w:t>
            </w:r>
            <w:r w:rsidRPr="00A16058">
              <w:rPr>
                <w:rFonts w:ascii="Trebuchet MS" w:hAnsi="Trebuchet MS"/>
              </w:rPr>
              <w:t>: fermierii si IMM-uri ce activeaza in sectorul agricol care au beneficiat de actiuni de formare, informare si transfer de cunostinte prin masura M7/1A</w:t>
            </w:r>
          </w:p>
          <w:p w:rsidR="000D1C18" w:rsidRPr="00ED0302" w:rsidRDefault="000D1C18" w:rsidP="00A90DDA">
            <w:pPr>
              <w:pStyle w:val="ListParagraph"/>
              <w:spacing w:after="0" w:line="276" w:lineRule="auto"/>
              <w:ind w:left="0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Solicitanţii nu au primit anterior sprijin comunitar pentru o investiţie similară.</w:t>
            </w:r>
          </w:p>
          <w:p w:rsidR="000D1C18" w:rsidRPr="00ED0302" w:rsidRDefault="000D1C18" w:rsidP="00A90DDA">
            <w:pPr>
              <w:pStyle w:val="ListParagraph"/>
              <w:spacing w:after="0" w:line="276" w:lineRule="auto"/>
              <w:ind w:left="0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Principiul lanțurilor alimentare integrate, respectiv integrarea producţiei agricole primare cu procesarea şi/ sau comercializarea.</w:t>
            </w:r>
          </w:p>
          <w:p w:rsidR="000D1C18" w:rsidRPr="00ED0302" w:rsidRDefault="000D1C18" w:rsidP="00A90DDA">
            <w:pPr>
              <w:pStyle w:val="ListParagraph"/>
              <w:spacing w:after="0" w:line="276" w:lineRule="auto"/>
              <w:ind w:left="0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 xml:space="preserve">Dimensiunea exploatației agricole sprijinită. </w:t>
            </w:r>
          </w:p>
          <w:p w:rsidR="000D1C18" w:rsidRPr="00ED0302" w:rsidRDefault="000D1C18" w:rsidP="00A90DDA">
            <w:pPr>
              <w:pStyle w:val="ListParagraph"/>
              <w:spacing w:after="0" w:line="276" w:lineRule="auto"/>
              <w:ind w:left="0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Principiul asocierii fermierilor, care deţin exploatații de dimensiuni micii şi/sau medii.</w:t>
            </w:r>
          </w:p>
          <w:p w:rsidR="000D1C18" w:rsidRPr="00ED0302" w:rsidRDefault="000D1C18" w:rsidP="00A90DDA">
            <w:pPr>
              <w:pStyle w:val="ListParagraph"/>
              <w:spacing w:after="0" w:line="276" w:lineRule="auto"/>
              <w:ind w:left="0"/>
              <w:jc w:val="both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Principiul nivelului de calificare în domeniul agricol al managerului exploatației agricole.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Sume aplicabile şi rate de sprijin</w:t>
            </w:r>
          </w:p>
        </w:tc>
        <w:tc>
          <w:tcPr>
            <w:tcW w:w="7224" w:type="dxa"/>
          </w:tcPr>
          <w:p w:rsidR="000D1C18" w:rsidRPr="00A16058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A16058">
              <w:rPr>
                <w:rFonts w:ascii="Trebuchet MS" w:hAnsi="Trebuchet MS"/>
              </w:rPr>
              <w:t>Intensitatea sprijinului public nerambursabil este de 50% din totalul cheltuielilor eligibile si nu va depasi 200.000 euro/proiect.</w:t>
            </w:r>
          </w:p>
          <w:p w:rsidR="000D1C18" w:rsidRPr="00A16058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A16058">
              <w:rPr>
                <w:rFonts w:ascii="Trebuchet MS" w:hAnsi="Trebuchet MS"/>
              </w:rPr>
              <w:t xml:space="preserve">Intensitatea sprijinului nerambursabil se va putea majora suplimentar </w:t>
            </w:r>
          </w:p>
          <w:p w:rsidR="000D1C18" w:rsidRPr="00A16058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A16058">
              <w:rPr>
                <w:rFonts w:ascii="Trebuchet MS" w:hAnsi="Trebuchet MS"/>
              </w:rPr>
              <w:t>dar rata sprijinului combinat nu va depăși 90%, dupa cum urmeaza:</w:t>
            </w:r>
          </w:p>
          <w:p w:rsidR="000D1C18" w:rsidRPr="00A16058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A16058">
              <w:rPr>
                <w:rFonts w:ascii="Trebuchet MS" w:hAnsi="Trebuchet MS"/>
              </w:rPr>
              <w:t>- 20% pentru investiţii realizate de tineri fermieri până în 40 de ani la dată depunerii cererii de finanţare;</w:t>
            </w:r>
          </w:p>
          <w:p w:rsidR="000D1C18" w:rsidRPr="00ED0302" w:rsidRDefault="000D1C18" w:rsidP="00A90DDA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A16058">
              <w:rPr>
                <w:rFonts w:ascii="Trebuchet MS" w:hAnsi="Trebuchet MS"/>
              </w:rPr>
              <w:t>- 20% pentru investiţii realizate în zona montană defavorizată</w:t>
            </w:r>
          </w:p>
        </w:tc>
      </w:tr>
      <w:tr w:rsidR="000D1C18" w:rsidRPr="00ED0302" w:rsidTr="00A90DDA">
        <w:tc>
          <w:tcPr>
            <w:tcW w:w="269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lastRenderedPageBreak/>
              <w:t>Indicatori de monitorizare</w:t>
            </w:r>
          </w:p>
        </w:tc>
        <w:tc>
          <w:tcPr>
            <w:tcW w:w="7224" w:type="dxa"/>
          </w:tcPr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Număr de proiecte ce au componente inovative sau de protecţia mediului</w:t>
            </w:r>
          </w:p>
          <w:p w:rsidR="000D1C18" w:rsidRPr="00ED0302" w:rsidRDefault="000D1C18" w:rsidP="00A90DDA">
            <w:pPr>
              <w:spacing w:after="0" w:line="276" w:lineRule="auto"/>
              <w:rPr>
                <w:rFonts w:ascii="Trebuchet MS" w:hAnsi="Trebuchet MS"/>
              </w:rPr>
            </w:pPr>
            <w:r w:rsidRPr="00ED0302">
              <w:rPr>
                <w:rFonts w:ascii="Trebuchet MS" w:hAnsi="Trebuchet MS"/>
              </w:rPr>
              <w:t>Număr de locuri de muncă create</w:t>
            </w:r>
          </w:p>
        </w:tc>
      </w:tr>
    </w:tbl>
    <w:p w:rsidR="000D1C18" w:rsidRPr="00627F64" w:rsidRDefault="000D1C18" w:rsidP="000D1C18">
      <w:pPr>
        <w:spacing w:line="276" w:lineRule="auto"/>
        <w:rPr>
          <w:rFonts w:ascii="Trebuchet MS" w:hAnsi="Trebuchet MS"/>
        </w:rPr>
      </w:pPr>
      <w:r w:rsidRPr="00627F64">
        <w:rPr>
          <w:rFonts w:ascii="Trebuchet MS" w:hAnsi="Trebuchet MS"/>
        </w:rPr>
        <w:tab/>
      </w:r>
    </w:p>
    <w:p w:rsidR="00336F6D" w:rsidRDefault="00336F6D"/>
    <w:sectPr w:rsidR="00336F6D" w:rsidSect="0032675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1C18"/>
    <w:rsid w:val="000D1C18"/>
    <w:rsid w:val="00120A9F"/>
    <w:rsid w:val="00326751"/>
    <w:rsid w:val="00336F6D"/>
    <w:rsid w:val="00655FFC"/>
    <w:rsid w:val="008F2DF5"/>
    <w:rsid w:val="00A75268"/>
    <w:rsid w:val="00B3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18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99"/>
    <w:qFormat/>
    <w:rsid w:val="000D1C18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99"/>
    <w:locked/>
    <w:rsid w:val="000D1C18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 Mihaela Costea</dc:creator>
  <cp:lastModifiedBy>Romela Mihaela Costea</cp:lastModifiedBy>
  <cp:revision>3</cp:revision>
  <cp:lastPrinted>2017-10-03T07:27:00Z</cp:lastPrinted>
  <dcterms:created xsi:type="dcterms:W3CDTF">2017-10-03T07:20:00Z</dcterms:created>
  <dcterms:modified xsi:type="dcterms:W3CDTF">2019-02-01T08:47:00Z</dcterms:modified>
</cp:coreProperties>
</file>